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32"/>
          <w:szCs w:val="32"/>
          <w:rtl w:val="0"/>
        </w:rPr>
        <w:t xml:space="preserve">Constitution of the</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32"/>
          <w:szCs w:val="32"/>
          <w:rtl w:val="0"/>
        </w:rPr>
        <w:t xml:space="preserve">Digital Women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ARTICLE I</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1     </w:t>
        <w:tab/>
        <w:t xml:space="preserve">        </w:t>
        <w:tab/>
        <w:t xml:space="preserve">The name of this organization shall be Digital Women at Iowa State.  University.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center"/>
      </w:pPr>
      <w:r w:rsidDel="00000000" w:rsidR="00000000" w:rsidRPr="00000000">
        <w:rPr>
          <w:rtl w:val="0"/>
        </w:rPr>
        <w:t xml:space="preserve"> </w:t>
      </w:r>
    </w:p>
    <w:p w:rsidR="00000000" w:rsidDel="00000000" w:rsidP="00000000" w:rsidRDefault="00000000" w:rsidRPr="00000000">
      <w:pPr>
        <w:contextualSpacing w:val="0"/>
        <w:jc w:val="center"/>
      </w:pPr>
      <w:r w:rsidDel="00000000" w:rsidR="00000000" w:rsidRPr="00000000">
        <w:rPr>
          <w:rtl w:val="0"/>
        </w:rPr>
        <w:t xml:space="preserve">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ARTICLE II</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PURPOSE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1     </w:t>
        <w:tab/>
        <w:t xml:space="preserve">        </w:t>
        <w:tab/>
        <w:t xml:space="preserve">To encourage, support, and retain women in Computer Science, Software Engineering, Computer Engineering, Electrical Engineering, MIS, and any other field involved with electrical technology.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2                 </w:t>
        <w:tab/>
        <w:t xml:space="preserve">To provide students with meaningful opportunities and social activities which  promote positive relationships among students and faculty.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3     </w:t>
        <w:tab/>
        <w:t xml:space="preserve">        </w:t>
        <w:tab/>
        <w:t xml:space="preserve">To encourage members of Digital Women to become an influence for good on campus and in the community.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ARTICLE III</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STATE OF COMPLIANCE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1     </w:t>
        <w:tab/>
        <w:t xml:space="preserve">        </w:t>
        <w:tab/>
        <w:t xml:space="preserve">Digital Women agrees to annually complete President’s Training, Treasurer’s Training and Advisor Training.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2                 </w:t>
        <w:tab/>
        <w:t xml:space="preserve">Digital Women abides by and supports established Iowa State University policies, local ordinances or regulations, and local, State, and Federal Laws.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ARTICLE IV</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MEMBERSHIP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1     </w:t>
        <w:tab/>
        <w:t xml:space="preserve">        </w:t>
        <w:tab/>
        <w:t xml:space="preserve">Membership shall be open to all students enrolled at Iowa State University.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2     </w:t>
        <w:tab/>
        <w:t xml:space="preserve">        </w:t>
        <w:tab/>
        <w:t xml:space="preserve">Membership in Digital Women will not be denied to anyone on the basis of race, religion, national origin, ethnicity, color, age, gender, marital status, citizenship, sexual orientation, physical or mental disability, gender identity, genetic information, sex, pregnancy, or status as a U.S.Veteran.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3                 </w:t>
        <w:tab/>
        <w:t xml:space="preserve">No member of Digital Women shall engage in hazing, participate in hazing, or commit any act that causes or is likely to cause bodily danger, physical harm, or personal degradation or disgrace resulting in physical or mental harm to any fellow student or person.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4     </w:t>
        <w:tab/>
        <w:t xml:space="preserve">        </w:t>
        <w:tab/>
        <w:t xml:space="preserve">Membership will be revoked by ½ vote of officers plus ¾ vote from the general membership if actions are deemed inappropriate by the membership.</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5     </w:t>
        <w:tab/>
        <w:t xml:space="preserve">        </w:t>
        <w:tab/>
        <w:t xml:space="preserve">Members of Digital Women abide by the 14 protected classes.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ARTICLE V</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OFFICERS AND ADVISORS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1     </w:t>
        <w:tab/>
        <w:t xml:space="preserve"> </w:t>
        <w:tab/>
        <w:t xml:space="preserve">Officers shall be a president, treasurer, and other such officers as the president and advisor(s) determine necessary.   The current list of officers include president, vice president, treasurer, webmaster, secretary, social chair, public relations, industry relations, Grace Hopper Chair, and outreach 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     </w:t>
        <w:tab/>
        <w:t xml:space="preserve">All officers shall be students at Iowa State University.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     </w:t>
        <w:tab/>
        <w:t xml:space="preserve">The officers of this organization must meet the following requirements: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     </w:t>
        <w:tab/>
        <w:t xml:space="preserve">Have a minimum cumulative grade point average (GPA) as stated below and meet that minimum GPA in the semesters during the term of office. For undergraduate, graduate, and professional students, the minimum GPA is 2.00. In order for this provision to be met, at least six hours (half-time credits) must have been taken for the semester under consideration.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2.     </w:t>
        <w:tab/>
        <w:t xml:space="preserve">Be in good standing with the university and enrolled: at least half time (six or more credit hours), is an undergraduate student (unless fewer credits are required to graduate in the spring and fall semesters) during the term of office, and at least half time (four or more credits), is a graduate level student (unless fewer credits are required in the final stages of their degree as defined by the Continuous Registration Requirement) during their term of office.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3.     </w:t>
        <w:tab/>
        <w:t xml:space="preserve">Be ineligible to hold an office should the student fail to maintain the requirements as prescribed in (a) and (b).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2                 </w:t>
        <w:tab/>
        <w:t xml:space="preserve">The duties of the officers currently present in Digital women are defined.</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                 </w:t>
        <w:tab/>
        <w:t xml:space="preserve">The duties of the president shall include directing the meetings and activities of the organization and maintaining communication with the advisor(s). If applicable, the president or his or her designee shall represent the Digital Women at any inter-student organization meetings at the school.</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                 </w:t>
        <w:tab/>
        <w:t xml:space="preserve">The duties of the treasurer shall include keeping track and balancing all of the clubs finances.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                 </w:t>
        <w:tab/>
        <w:t xml:space="preserve">The duties of the secretary shall include writing down the meeting minutes and sending notices to members and the executive team.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                 </w:t>
        <w:tab/>
        <w:t xml:space="preserve">The duties of the vice president shall include helping the president direct the meetings and activities of the organization and performing the president's duties in the absence of the president.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                 </w:t>
        <w:tab/>
        <w:t xml:space="preserve">The duties of the social chair shall include planning social activities and any out of normal meeting time social events.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                  </w:t>
        <w:tab/>
        <w:t xml:space="preserve">The duties of the public relations chair shall include recruiting new members and informing the public of our activities and what our organization does.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                 </w:t>
        <w:tab/>
        <w:t xml:space="preserve">The duties of the industry relations chair is to communicate with companies so as to create a partnership to help students connect with companies for internships and full-time positions.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                 </w:t>
        <w:tab/>
        <w:t xml:space="preserve">The duties of the Grace Hopper Celebration chair shall include coordination of Grace Hopper logistics and work closely with the industry relations chair to obtain funding. This person will also head the selection of participants for the annual Grace Hopper Celebration.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                 </w:t>
        <w:tab/>
        <w:t xml:space="preserve">The duties of the outreach chair is to coordinate opportunities for members of Digital Women to volunteer within Iowa State and surrounding Ames community.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3     </w:t>
        <w:tab/>
        <w:t xml:space="preserve">        </w:t>
        <w:tab/>
        <w:t xml:space="preserve">The president and treasurer are each confirmed by a vote of Digital Women members.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     </w:t>
        <w:tab/>
        <w:t xml:space="preserve">        </w:t>
        <w:tab/>
        <w:t xml:space="preserve">Officers shall be voted upon annually at the last meeting for each school year, or more often if necessary, by method of majority vote.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     </w:t>
        <w:tab/>
        <w:t xml:space="preserve">        </w:t>
        <w:tab/>
        <w:t xml:space="preserve">Officers shall automatically be removed from office upon departure from Iowa State University.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     </w:t>
        <w:tab/>
        <w:t xml:space="preserve">        </w:t>
        <w:tab/>
        <w:t xml:space="preserve">Officers or advisers may be removed from office by ½ vote of the other officers and ¾ of the general membership if actions are deemed inappropriate by the membership. The officer is permitted to speak before the Executive Committee and the general membership about the charges made concerning his/her performance. The officer is not permitted to participate in the deliberation of the Executive Committee regarding the charges.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     </w:t>
        <w:tab/>
        <w:t xml:space="preserve">        </w:t>
        <w:tab/>
        <w:t xml:space="preserve">Removed officers or advisers shall be replaced by new officers or advisers who shall be appointed by regular election standards.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4     </w:t>
        <w:tab/>
        <w:t xml:space="preserve">        </w:t>
        <w:tab/>
        <w:t xml:space="preserve">Duties of the advisor include maintaining communication and meeting with the president and treasurer regularly throughout the semester. Awareness and approval of financial expenditures is also required of advisors along with ensuring that the organization is operating in conformity with the standards set forth by Iowa State University and Student Activities Center.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5 </w:t>
        <w:tab/>
        <w:tab/>
        <w:t xml:space="preserve">The term for the adviser will be one full year (from August to August each year).  The adviser will be selected by the officers and then voted on by the general membership.  A majority vote is needed for an adviser to be selected.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6</w:t>
        <w:tab/>
        <w:tab/>
        <w:t xml:space="preserve">Impeachment may be brought against any officer of the WDC for failure to fulfill the duties of office, failure to follow this Constitution, or for committing actions unbecoming the holder of that office. A special meeting for all members shall be called when impeachment is brought against an officer. The member bringing forth the charge of impeachment will be given time to present his or her case to the voting body. The accused will have an equal amount of time to present his or her defense. After hearing both parties, the voting body will then have time to question both sides and deliberate. Once deliberation has concluded, the assembly will vote by secret ballot. To be convicted of an impeachment charge, the officer must be found guilty by at least a two-thirds (2/3rds) majority vote.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Examples of impeachable offenses: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Falling below a 2.0 cumulative Grade Point Average.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Using club monies for illegal use or personal gain.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Discriminating against any members of the club based on race, gender, religion, etc.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tab/>
        <w:tab/>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ARTICLE VI</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FINANCES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1     </w:t>
        <w:tab/>
        <w:t xml:space="preserve">        </w:t>
        <w:tab/>
        <w:t xml:space="preserve">Digital Women does not charge membership dues, nor does Digital Women charge fees to participate in Digital Women activities. Digital Women may accept voluntary contributions from individuals or companies in connection with some Digital Women activities.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2     </w:t>
        <w:tab/>
        <w:t xml:space="preserve">        </w:t>
        <w:tab/>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spacing w:after="80" w:lineRule="auto"/>
        <w:contextualSpacing w:val="0"/>
      </w:pPr>
      <w:r w:rsidDel="00000000" w:rsidR="00000000" w:rsidRPr="00000000">
        <w:rPr>
          <w:rFonts w:ascii="Times New Roman" w:cs="Times New Roman" w:eastAsia="Times New Roman" w:hAnsi="Times New Roman"/>
          <w:sz w:val="24"/>
          <w:szCs w:val="24"/>
          <w:rtl w:val="0"/>
        </w:rPr>
        <w:t xml:space="preserve">Section 3</w:t>
        <w:tab/>
        <w:tab/>
        <w:t xml:space="preserve">Disposition of Monies upon Club Dissolution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the event that the club is dissolved, the Treasurer will use any remaining funds in the club account to pay any outstanding fees owed by the club. Thereafter, if any remaining funds exist, the money shall be donated to a local charity.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ARTICLE VII</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AMENDMENTS AND BY-LAWS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1     </w:t>
        <w:tab/>
        <w:t xml:space="preserve">        </w:t>
        <w:tab/>
        <w:t xml:space="preserve">This Constitution may only be amended by the Digital Women president or advisor(s) with approval of a simple majority of the membership, not counting abstainers. Members will be given one week to consider amendments.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2                 </w:t>
        <w:tab/>
        <w:t xml:space="preserve">Local campus by-laws may be appended to this Constitution upon the approval of the Digital Women president or advisor(s).  By-laws must be consistent with the spirit and principles set forth in this Constitution.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3     </w:t>
        <w:tab/>
        <w:t xml:space="preserve">        </w:t>
        <w:tab/>
        <w:t xml:space="preserve">Any amendments made to the by-laws will be submitted within 10 days to the Student Activities Center for approval.  Changes will be made known to the members within the same time span.</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ARTICLE VIII</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RISK MANAGEMENT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1     </w:t>
        <w:tab/>
        <w:t xml:space="preserve">        </w:t>
        <w:tab/>
        <w:t xml:space="preserve">Digital Women designates the president and treasurer as the risk management officers.  This is included in their duties stated in Article V.</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Section 2                 </w:t>
        <w:tab/>
        <w:t xml:space="preserve">The role of the risk management officers is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                 </w:t>
        <w:tab/>
        <w:t xml:space="preserve">To recommend risk management policies or procedures to Digital Women.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                 </w:t>
        <w:tab/>
        <w:t xml:space="preserve">To submit documentation to ISU’s Risk Management Office and [c] to ensure that Risk Mgt. procedures are implemented at all of the orgs. events.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ARTICLE IX</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ENABLING ACT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Upon approval of this constitution by Iowa State University, it shall become effective immediately.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tbl>
      <w:tblPr>
        <w:tblStyle w:val="Table1"/>
        <w:bidi w:val="0"/>
        <w:tblW w:w="49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20"/>
        <w:gridCol w:w="660"/>
        <w:tblGridChange w:id="0">
          <w:tblGrid>
            <w:gridCol w:w="4320"/>
            <w:gridCol w:w="660"/>
          </w:tblGrid>
        </w:tblGridChange>
      </w:tblGrid>
      <w:tr>
        <w:tc>
          <w:tcPr>
            <w:tcMar>
              <w:top w:w="100.0" w:type="dxa"/>
              <w:left w:w="100.0" w:type="dxa"/>
              <w:bottom w:w="100.0" w:type="dxa"/>
              <w:right w:w="100.0" w:type="dxa"/>
            </w:tcMar>
          </w:tcPr>
          <w:p w:rsidR="00000000" w:rsidDel="00000000" w:rsidP="00000000" w:rsidRDefault="00000000" w:rsidRPr="00000000">
            <w:pPr>
              <w:ind w:lef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